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>
        <w:rPr>
          <w:rFonts w:cs="Times New Roman" w:ascii="Times New Roman" w:hAnsi="Times New Roman"/>
          <w:b/>
          <w:color w:val="0070C0"/>
          <w:sz w:val="36"/>
          <w:szCs w:val="36"/>
        </w:rPr>
        <w:t xml:space="preserve">Зиминская межрайонная прокуратура </w:t>
      </w:r>
    </w:p>
    <w:p>
      <w:pPr>
        <w:pStyle w:val="Normal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>
        <w:rPr>
          <w:rFonts w:cs="Times New Roman" w:ascii="Times New Roman" w:hAnsi="Times New Roman"/>
          <w:b/>
          <w:color w:val="0070C0"/>
          <w:sz w:val="36"/>
          <w:szCs w:val="36"/>
        </w:rPr>
        <w:t>Р</w:t>
      </w:r>
      <w:r>
        <w:rPr>
          <w:rFonts w:cs="Times New Roman" w:ascii="Times New Roman" w:hAnsi="Times New Roman"/>
          <w:b/>
          <w:color w:val="0070C0"/>
          <w:sz w:val="36"/>
          <w:szCs w:val="36"/>
        </w:rPr>
        <w:t>АЗЪЯСНЯЕТ</w:t>
      </w:r>
    </w:p>
    <w:p>
      <w:pPr>
        <w:pStyle w:val="Normal"/>
        <w:jc w:val="center"/>
        <w:rPr>
          <w:rFonts w:ascii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cs="Times New Roman" w:ascii="Times New Roman" w:hAnsi="Times New Roman"/>
          <w:b/>
          <w:color w:val="C00000"/>
          <w:sz w:val="32"/>
          <w:szCs w:val="32"/>
        </w:rPr>
        <w:t xml:space="preserve">«Изменение законодательства </w:t>
      </w:r>
      <w:bookmarkStart w:id="0" w:name="_GoBack"/>
      <w:bookmarkEnd w:id="0"/>
      <w:r>
        <w:rPr>
          <w:rFonts w:cs="Times New Roman" w:ascii="Times New Roman" w:hAnsi="Times New Roman"/>
          <w:b/>
          <w:color w:val="C00000"/>
          <w:sz w:val="32"/>
          <w:szCs w:val="32"/>
        </w:rPr>
        <w:t>о</w:t>
      </w:r>
      <w:r>
        <w:rPr>
          <w:rFonts w:cs="Times New Roman" w:ascii="Times New Roman" w:hAnsi="Times New Roman"/>
          <w:b/>
          <w:color w:val="C00000"/>
          <w:sz w:val="32"/>
          <w:szCs w:val="32"/>
        </w:rPr>
        <w:t xml:space="preserve"> проведении выборов на территории Российской Федерации</w:t>
      </w:r>
      <w:r>
        <w:rPr>
          <w:rFonts w:cs="Times New Roman" w:ascii="Times New Roman" w:hAnsi="Times New Roman"/>
          <w:b/>
          <w:color w:val="C00000"/>
          <w:sz w:val="32"/>
          <w:szCs w:val="32"/>
        </w:rPr>
        <w:t>»</w:t>
      </w:r>
    </w:p>
    <w:p>
      <w:pPr>
        <w:pStyle w:val="Normal"/>
        <w:ind w:hanging="426" w:left="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</w:t>
      </w:r>
      <w:r>
        <w:rPr/>
        <w:drawing>
          <wp:inline distT="0" distB="0" distL="0" distR="0">
            <wp:extent cx="4152265" cy="2110740"/>
            <wp:effectExtent l="0" t="0" r="0" b="0"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265" cy="2110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0"/>
          <w:szCs w:val="20"/>
        </w:rPr>
        <w:t xml:space="preserve"> 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2025–2026 годах в избирательное законодательство Российской Федерации внесен ряд существенных изменений. Они касаются правил агитации, применения технологий, статуса кандидатов и организации голосования. Ключевые новеллы: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  <w:t>Регулирование агитации и ИИ: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Запрет на использование ИИ в агитации: в агитматериалах запрещено использовать изображения или голоса людей (включая умерших и вымышленных), созданные с помощью ИИ. Запрет не касается улучшения качества собственных фото кандидата.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Маркировка «иноагентов»: материалы с изображением или голосом лица, связанного с иностранным агентом, должны иметь соответствующую маркировку.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Публикация программ: предвыборные программы и финансовые отчеты можно публиковать в интернете, отменив </w:t>
      </w:r>
      <w:r>
        <w:rPr>
          <w:rFonts w:cs="Times New Roman" w:ascii="Times New Roman" w:hAnsi="Times New Roman"/>
          <w:b/>
          <w:sz w:val="28"/>
          <w:szCs w:val="28"/>
        </w:rPr>
        <w:t>обязательную печать в СМИ.</w:t>
      </w:r>
    </w:p>
    <w:p>
      <w:pPr>
        <w:pStyle w:val="ListParagraph"/>
        <w:spacing w:lineRule="auto" w:line="240" w:before="0" w:after="0"/>
        <w:ind w:left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  <w:u w:val="single"/>
        </w:rPr>
        <w:t>Электронное голосование и технологии: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firstLine="360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Приоритет электронного голосования: ЦИК и региональные комиссии смогут проводить голосование без бумажных бюллетеней, используя только электронные терминалы на участках.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firstLine="360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Уточнение понятий: законодательно уточнены термины «электронное голосование» и «дистанционное электронное голосование» (ДЭГ).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firstLine="360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Голосование не по месту прописки: избиратели, находящиеся в день голосования не по месту регистрации, смогут проголосовать на любом участке в пределах региона.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firstLine="360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Электронные протоколы: разрешено составлять протоколы комиссий в электронном виде с обязательной выдачей копий на бумаге.</w:t>
      </w:r>
    </w:p>
    <w:p>
      <w:pPr>
        <w:pStyle w:val="ListParagraph"/>
        <w:spacing w:lineRule="auto" w:line="240" w:before="0" w:after="0"/>
        <w:ind w:left="36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  <w:u w:val="single"/>
        </w:rPr>
        <w:t>Статус кандидатов и финансирование:</w:t>
      </w:r>
    </w:p>
    <w:p>
      <w:pPr>
        <w:pStyle w:val="ListParagraph"/>
        <w:numPr>
          <w:ilvl w:val="0"/>
          <w:numId w:val="3"/>
        </w:numPr>
        <w:spacing w:lineRule="auto" w:line="240" w:before="240" w:after="0"/>
        <w:ind w:firstLine="360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Права самозанятых: кандидаты-самозанятые получили право указывать этот статус при регистрации (постановление КС РФ).</w:t>
      </w:r>
    </w:p>
    <w:p>
      <w:pPr>
        <w:pStyle w:val="ListParagraph"/>
        <w:numPr>
          <w:ilvl w:val="0"/>
          <w:numId w:val="3"/>
        </w:numPr>
        <w:spacing w:lineRule="auto" w:line="240" w:before="240" w:after="0"/>
        <w:ind w:firstLine="360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Дистанционное открытие счетов: с 1 января 2026 года кандидаты могут открывать спецсчета дистанционно.</w:t>
      </w:r>
    </w:p>
    <w:p>
      <w:pPr>
        <w:pStyle w:val="ListParagraph"/>
        <w:numPr>
          <w:ilvl w:val="0"/>
          <w:numId w:val="3"/>
        </w:numPr>
        <w:spacing w:lineRule="auto" w:line="240" w:before="240" w:after="0"/>
        <w:ind w:firstLine="360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Запрет на пожертвования: запрещены пожертвования партиям от юрлиц, связанных с иноагентами и экстремистами.</w:t>
      </w:r>
    </w:p>
    <w:p>
      <w:pPr>
        <w:pStyle w:val="ListParagraph"/>
        <w:numPr>
          <w:ilvl w:val="0"/>
          <w:numId w:val="3"/>
        </w:numPr>
        <w:spacing w:lineRule="auto" w:line="240" w:before="240" w:after="0"/>
        <w:ind w:firstLine="360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Фото- и видеосъемка: представителям комиссий разрешено беспрепятственно вести фото- и видеосъемку на партийных мероприятиях.</w:t>
      </w:r>
    </w:p>
    <w:p>
      <w:pPr>
        <w:pStyle w:val="ListParagraph"/>
        <w:spacing w:lineRule="auto" w:line="240" w:before="240" w:after="0"/>
        <w:ind w:left="36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  <w:u w:val="single"/>
        </w:rPr>
        <w:t>Организация выборов:</w:t>
      </w:r>
    </w:p>
    <w:p>
      <w:pPr>
        <w:pStyle w:val="ListParagraph"/>
        <w:numPr>
          <w:ilvl w:val="0"/>
          <w:numId w:val="4"/>
        </w:numPr>
        <w:spacing w:lineRule="auto" w:line="240" w:before="240" w:after="0"/>
        <w:ind w:firstLine="360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Запрет на довыборы: дополнительные выборы депутатов Госдумы не назначаются и не проводятся в год, предшествующий году основных выборов, и в сам год выборов.</w:t>
      </w:r>
    </w:p>
    <w:p>
      <w:pPr>
        <w:pStyle w:val="ListParagraph"/>
        <w:numPr>
          <w:ilvl w:val="0"/>
          <w:numId w:val="4"/>
        </w:numPr>
        <w:spacing w:lineRule="auto" w:line="240" w:before="240" w:after="0"/>
        <w:ind w:firstLine="426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Пересмотр округов: границы одномандатных округов пересмотрены с учетом новых регионов (ДНР, ЛНР, Запорожская и Херсонская области).</w:t>
      </w:r>
    </w:p>
    <w:p>
      <w:pPr>
        <w:pStyle w:val="ListParagraph"/>
        <w:numPr>
          <w:ilvl w:val="0"/>
          <w:numId w:val="4"/>
        </w:numPr>
        <w:spacing w:lineRule="auto" w:line="240" w:before="240" w:after="0"/>
        <w:ind w:firstLine="426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Обязательный пересмотр списков: избиркомы обязаны повторно рассматривать вопрос о заверении списков кандидатов, если предыдущий отказ был отменен судом.</w:t>
      </w:r>
    </w:p>
    <w:p>
      <w:pPr>
        <w:pStyle w:val="ListParagraph"/>
        <w:numPr>
          <w:ilvl w:val="0"/>
          <w:numId w:val="4"/>
        </w:numPr>
        <w:spacing w:lineRule="auto" w:line="240" w:before="240" w:after="0"/>
        <w:ind w:firstLine="360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Списки избирателей: глав местных администраций освободили от обязанности подавать списки избирателей в участковые комиссии.</w:t>
      </w:r>
    </w:p>
    <w:p>
      <w:pPr>
        <w:pStyle w:val="ListParagraph"/>
        <w:spacing w:lineRule="auto" w:line="240" w:before="240" w:after="0"/>
        <w:ind w:left="36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 xml:space="preserve"> </w:t>
      </w:r>
      <w:r>
        <w:rPr>
          <w:rFonts w:cs="Times New Roman" w:ascii="Times New Roman" w:hAnsi="Times New Roman"/>
          <w:sz w:val="28"/>
          <w:szCs w:val="28"/>
          <w:u w:val="single"/>
        </w:rPr>
        <w:t>Иные изменения:</w:t>
      </w:r>
    </w:p>
    <w:p>
      <w:pPr>
        <w:pStyle w:val="ListParagraph"/>
        <w:numPr>
          <w:ilvl w:val="0"/>
          <w:numId w:val="5"/>
        </w:numPr>
        <w:spacing w:lineRule="auto" w:line="240" w:before="240" w:after="0"/>
        <w:ind w:firstLine="360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Порядок выдачи бюллетеней: решение о выдаче нового бюллетеня взамен испорченного при повторном обращении принимает участковая комиссия.</w:t>
      </w:r>
    </w:p>
    <w:p>
      <w:pPr>
        <w:pStyle w:val="ListParagraph"/>
        <w:numPr>
          <w:ilvl w:val="0"/>
          <w:numId w:val="5"/>
        </w:numPr>
        <w:spacing w:lineRule="auto" w:line="240" w:before="240" w:after="0"/>
        <w:ind w:firstLine="360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Подача обращений: обращения в ЦИК и региональные комиссии можно подавать в электронной форме через ЕСИА.</w:t>
      </w:r>
    </w:p>
    <w:p>
      <w:pPr>
        <w:pStyle w:val="ListParagraph"/>
        <w:numPr>
          <w:ilvl w:val="0"/>
          <w:numId w:val="5"/>
        </w:numPr>
        <w:spacing w:lineRule="auto" w:line="240" w:before="240" w:after="0"/>
        <w:ind w:firstLine="360" w:left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Права граждан Беларуси: граждане Беларуси, постоянно проживающие в РФ, получили право избирать и быть избранными в органы местного самоуправления.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Статью подготовила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Помощник прокурора 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Шевко К.А.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111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3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5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7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9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71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3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5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77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u w:val="none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6e164b"/>
    <w:rPr/>
  </w:style>
  <w:style w:type="character" w:styleId="Style15" w:customStyle="1">
    <w:name w:val="Нижний колонтитул Знак"/>
    <w:basedOn w:val="DefaultParagraphFont"/>
    <w:uiPriority w:val="99"/>
    <w:qFormat/>
    <w:rsid w:val="006e164b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user2">
    <w:name w:val="Колонтитулы (user)"/>
    <w:basedOn w:val="Normal"/>
    <w:qFormat/>
    <w:pPr/>
    <w:rPr/>
  </w:style>
  <w:style w:type="paragraph" w:styleId="Style18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6e164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6e164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892aea"/>
    <w:pPr>
      <w:spacing w:before="0" w:after="160"/>
      <w:ind w:left="720"/>
      <w:contextualSpacing/>
    </w:pPr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LibreOffice/24.8.7.2$Linux_X86_64 LibreOffice_project/480$Build-2</Application>
  <AppVersion>15.0000</AppVersion>
  <Pages>2</Pages>
  <Words>383</Words>
  <Characters>2703</Characters>
  <CharactersWithSpaces>3124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2026-07-17T08:32:00Z</dcterms:created>
  <dc:creator>Admin</dc:creator>
  <dc:description/>
  <dc:language>ru-RU</dc:language>
  <cp:lastModifiedBy/>
  <dcterms:modified xsi:type="dcterms:W3CDTF">2026-07-30T09:30:27Z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